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44A37" w14:textId="77777777" w:rsidR="00031D68" w:rsidRDefault="00D75B8C">
      <w:pPr>
        <w:pStyle w:val="Corpodetexto"/>
        <w:ind w:left="9879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410432" behindDoc="1" locked="0" layoutInCell="1" allowOverlap="1" wp14:anchorId="297860EE" wp14:editId="0A2B662D">
            <wp:simplePos x="0" y="0"/>
            <wp:positionH relativeFrom="page">
              <wp:posOffset>6143625</wp:posOffset>
            </wp:positionH>
            <wp:positionV relativeFrom="page">
              <wp:posOffset>1555749</wp:posOffset>
            </wp:positionV>
            <wp:extent cx="506223" cy="4998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23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11456" behindDoc="1" locked="0" layoutInCell="1" allowOverlap="1" wp14:anchorId="3DFB8C69" wp14:editId="76467D98">
            <wp:simplePos x="0" y="0"/>
            <wp:positionH relativeFrom="page">
              <wp:posOffset>885444</wp:posOffset>
            </wp:positionH>
            <wp:positionV relativeFrom="page">
              <wp:posOffset>1468134</wp:posOffset>
            </wp:positionV>
            <wp:extent cx="601186" cy="58940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186" cy="589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0"/>
        </w:rPr>
        <w:drawing>
          <wp:inline distT="0" distB="0" distL="0" distR="0" wp14:anchorId="094D2E2D" wp14:editId="70F134DC">
            <wp:extent cx="503405" cy="53949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40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FF1E1" w14:textId="77777777" w:rsidR="00031D68" w:rsidRDefault="00031D68">
      <w:pPr>
        <w:pStyle w:val="Corpodetexto"/>
        <w:rPr>
          <w:rFonts w:ascii="Times New Roman"/>
          <w:b w:val="0"/>
          <w:sz w:val="20"/>
        </w:rPr>
      </w:pPr>
    </w:p>
    <w:p w14:paraId="413F1B0E" w14:textId="77777777" w:rsidR="00031D68" w:rsidRDefault="00031D68">
      <w:pPr>
        <w:pStyle w:val="Corpodetexto"/>
        <w:rPr>
          <w:rFonts w:ascii="Times New Roman"/>
          <w:b w:val="0"/>
          <w:sz w:val="20"/>
        </w:rPr>
      </w:pPr>
    </w:p>
    <w:p w14:paraId="2CFDCB84" w14:textId="77777777" w:rsidR="00031D68" w:rsidRDefault="00031D68">
      <w:pPr>
        <w:pStyle w:val="Corpodetexto"/>
        <w:spacing w:before="5" w:after="1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9"/>
        <w:gridCol w:w="1775"/>
        <w:gridCol w:w="2466"/>
      </w:tblGrid>
      <w:tr w:rsidR="00031D68" w14:paraId="7545BAF5" w14:textId="77777777">
        <w:trPr>
          <w:trHeight w:val="425"/>
        </w:trPr>
        <w:tc>
          <w:tcPr>
            <w:tcW w:w="10070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B6DDE8"/>
          </w:tcPr>
          <w:p w14:paraId="1F756238" w14:textId="14037718" w:rsidR="00031D68" w:rsidRDefault="00D75B8C">
            <w:pPr>
              <w:pStyle w:val="TableParagraph"/>
              <w:spacing w:before="105"/>
              <w:ind w:left="83"/>
              <w:jc w:val="center"/>
              <w:rPr>
                <w:b/>
              </w:rPr>
            </w:pPr>
            <w:r>
              <w:rPr>
                <w:b/>
              </w:rPr>
              <w:t>LICENÇA Ambiental Única Nº 82/2020</w:t>
            </w:r>
          </w:p>
        </w:tc>
      </w:tr>
      <w:tr w:rsidR="00031D68" w14:paraId="4CEFAF01" w14:textId="77777777">
        <w:trPr>
          <w:trHeight w:val="1197"/>
        </w:trPr>
        <w:tc>
          <w:tcPr>
            <w:tcW w:w="10070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0F224730" w14:textId="77777777" w:rsidR="00031D68" w:rsidRDefault="00031D68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6CE51B6" w14:textId="77777777" w:rsidR="00D75B8C" w:rsidRDefault="00D75B8C">
            <w:pPr>
              <w:pStyle w:val="TableParagraph"/>
              <w:spacing w:before="112"/>
              <w:ind w:left="110"/>
              <w:jc w:val="center"/>
              <w:rPr>
                <w:rFonts w:eastAsiaTheme="minorHAnsi"/>
                <w:b/>
                <w:bCs/>
                <w:sz w:val="18"/>
                <w:szCs w:val="18"/>
                <w:lang w:val="pt-BR" w:eastAsia="en-US" w:bidi="ar-SA"/>
              </w:rPr>
            </w:pPr>
            <w:r w:rsidRPr="00D75B8C">
              <w:rPr>
                <w:rFonts w:eastAsiaTheme="minorHAnsi"/>
                <w:b/>
                <w:bCs/>
                <w:sz w:val="18"/>
                <w:szCs w:val="18"/>
                <w:lang w:val="pt-BR" w:eastAsia="en-US" w:bidi="ar-SA"/>
              </w:rPr>
              <w:t>INTRAPACK INDUSTRIA E COMERCIO DE PLASTICO LTDA</w:t>
            </w:r>
          </w:p>
          <w:p w14:paraId="0DE9FD71" w14:textId="485C1110" w:rsidR="00031D68" w:rsidRDefault="00D75B8C">
            <w:pPr>
              <w:pStyle w:val="TableParagraph"/>
              <w:spacing w:before="112"/>
              <w:ind w:left="110"/>
              <w:jc w:val="center"/>
              <w:rPr>
                <w:sz w:val="16"/>
              </w:rPr>
            </w:pPr>
            <w:r w:rsidRPr="00D75B8C">
              <w:rPr>
                <w:sz w:val="18"/>
                <w:szCs w:val="18"/>
              </w:rPr>
              <w:t>CNPJ</w:t>
            </w:r>
            <w:r>
              <w:rPr>
                <w:sz w:val="16"/>
              </w:rPr>
              <w:t xml:space="preserve">: </w:t>
            </w:r>
            <w:r w:rsidRPr="00D75B8C">
              <w:rPr>
                <w:rFonts w:eastAsiaTheme="minorHAnsi"/>
                <w:sz w:val="18"/>
                <w:szCs w:val="18"/>
                <w:lang w:val="pt-BR" w:eastAsia="en-US" w:bidi="ar-SA"/>
              </w:rPr>
              <w:t>30</w:t>
            </w:r>
            <w:r w:rsidR="00056B3D">
              <w:rPr>
                <w:rFonts w:eastAsiaTheme="minorHAnsi"/>
                <w:sz w:val="18"/>
                <w:szCs w:val="18"/>
                <w:lang w:val="pt-BR" w:eastAsia="en-US" w:bidi="ar-SA"/>
              </w:rPr>
              <w:t>.</w:t>
            </w:r>
            <w:r w:rsidRPr="00D75B8C">
              <w:rPr>
                <w:rFonts w:eastAsiaTheme="minorHAnsi"/>
                <w:sz w:val="18"/>
                <w:szCs w:val="18"/>
                <w:lang w:val="pt-BR" w:eastAsia="en-US" w:bidi="ar-SA"/>
              </w:rPr>
              <w:t>670</w:t>
            </w:r>
            <w:r w:rsidR="00056B3D">
              <w:rPr>
                <w:rFonts w:eastAsiaTheme="minorHAnsi"/>
                <w:sz w:val="18"/>
                <w:szCs w:val="18"/>
                <w:lang w:val="pt-BR" w:eastAsia="en-US" w:bidi="ar-SA"/>
              </w:rPr>
              <w:t>.</w:t>
            </w:r>
            <w:r w:rsidRPr="00D75B8C">
              <w:rPr>
                <w:rFonts w:eastAsiaTheme="minorHAnsi"/>
                <w:sz w:val="18"/>
                <w:szCs w:val="18"/>
                <w:lang w:val="pt-BR" w:eastAsia="en-US" w:bidi="ar-SA"/>
              </w:rPr>
              <w:t>420</w:t>
            </w:r>
            <w:r w:rsidR="00056B3D">
              <w:rPr>
                <w:rFonts w:eastAsiaTheme="minorHAnsi"/>
                <w:sz w:val="18"/>
                <w:szCs w:val="18"/>
                <w:lang w:val="pt-BR" w:eastAsia="en-US" w:bidi="ar-SA"/>
              </w:rPr>
              <w:t>/</w:t>
            </w:r>
            <w:r w:rsidRPr="00D75B8C">
              <w:rPr>
                <w:rFonts w:eastAsiaTheme="minorHAnsi"/>
                <w:sz w:val="18"/>
                <w:szCs w:val="18"/>
                <w:lang w:val="pt-BR" w:eastAsia="en-US" w:bidi="ar-SA"/>
              </w:rPr>
              <w:t>0001</w:t>
            </w:r>
            <w:r w:rsidR="00056B3D">
              <w:rPr>
                <w:rFonts w:eastAsiaTheme="minorHAnsi"/>
                <w:sz w:val="18"/>
                <w:szCs w:val="18"/>
                <w:lang w:val="pt-BR" w:eastAsia="en-US" w:bidi="ar-SA"/>
              </w:rPr>
              <w:t>-</w:t>
            </w:r>
            <w:r w:rsidRPr="00D75B8C">
              <w:rPr>
                <w:rFonts w:eastAsiaTheme="minorHAnsi"/>
                <w:sz w:val="18"/>
                <w:szCs w:val="18"/>
                <w:lang w:val="pt-BR" w:eastAsia="en-US" w:bidi="ar-SA"/>
              </w:rPr>
              <w:t>46</w:t>
            </w:r>
          </w:p>
          <w:p w14:paraId="64AC9C29" w14:textId="71E637B8" w:rsidR="00031D68" w:rsidRDefault="00D75B8C">
            <w:pPr>
              <w:pStyle w:val="TableParagraph"/>
              <w:tabs>
                <w:tab w:val="left" w:pos="2169"/>
              </w:tabs>
              <w:spacing w:before="96"/>
              <w:ind w:left="81"/>
              <w:jc w:val="center"/>
              <w:rPr>
                <w:sz w:val="16"/>
              </w:rPr>
            </w:pPr>
            <w:r>
              <w:rPr>
                <w:sz w:val="16"/>
              </w:rPr>
              <w:t>EMISSÃO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17/04/2020</w:t>
            </w:r>
            <w:r>
              <w:rPr>
                <w:sz w:val="16"/>
              </w:rPr>
              <w:tab/>
              <w:t>VALIDADE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16/04/2026</w:t>
            </w:r>
          </w:p>
        </w:tc>
      </w:tr>
      <w:tr w:rsidR="00031D68" w14:paraId="2D004A37" w14:textId="77777777">
        <w:trPr>
          <w:trHeight w:val="399"/>
        </w:trPr>
        <w:tc>
          <w:tcPr>
            <w:tcW w:w="58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22199899" w14:textId="77777777" w:rsidR="00031D68" w:rsidRDefault="00D75B8C">
            <w:pPr>
              <w:pStyle w:val="TableParagraph"/>
              <w:spacing w:before="131"/>
              <w:ind w:right="15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PRINCIPAIS CONDICIONANTES COM PRAZO*</w:t>
            </w:r>
          </w:p>
        </w:tc>
        <w:tc>
          <w:tcPr>
            <w:tcW w:w="177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4AFFFA40" w14:textId="77777777" w:rsidR="00031D68" w:rsidRDefault="00D75B8C">
            <w:pPr>
              <w:pStyle w:val="TableParagraph"/>
              <w:spacing w:before="131"/>
              <w:ind w:left="482" w:right="4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STATUS</w:t>
            </w:r>
          </w:p>
        </w:tc>
        <w:tc>
          <w:tcPr>
            <w:tcW w:w="24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9304CD4" w14:textId="77777777" w:rsidR="00031D68" w:rsidRDefault="00D75B8C">
            <w:pPr>
              <w:pStyle w:val="TableParagraph"/>
              <w:spacing w:before="131"/>
              <w:ind w:left="694"/>
              <w:rPr>
                <w:b/>
                <w:sz w:val="14"/>
              </w:rPr>
            </w:pPr>
            <w:r>
              <w:rPr>
                <w:b/>
                <w:sz w:val="14"/>
              </w:rPr>
              <w:t>OBSERVAÇÕES</w:t>
            </w:r>
          </w:p>
        </w:tc>
      </w:tr>
      <w:tr w:rsidR="00031D68" w14:paraId="466DBE58" w14:textId="77777777">
        <w:trPr>
          <w:trHeight w:val="633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2BFAB7" w14:textId="77777777" w:rsidR="00031D68" w:rsidRDefault="00031D68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553E3D68" w14:textId="77777777" w:rsidR="00031D68" w:rsidRDefault="00D75B8C">
            <w:pPr>
              <w:pStyle w:val="TableParagraph"/>
              <w:ind w:left="28" w:right="97"/>
              <w:rPr>
                <w:sz w:val="14"/>
              </w:rPr>
            </w:pPr>
            <w:r>
              <w:rPr>
                <w:sz w:val="14"/>
              </w:rPr>
              <w:t>Submeter à prévia análise da SEMACE qualquer alteração que se faça necessária ao empreendimento.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C6B398" w14:textId="77777777" w:rsidR="00031D68" w:rsidRDefault="00031D68">
            <w:pPr>
              <w:pStyle w:val="TableParagraph"/>
              <w:spacing w:before="1"/>
              <w:rPr>
                <w:rFonts w:ascii="Times New Roman"/>
              </w:rPr>
            </w:pPr>
          </w:p>
          <w:p w14:paraId="14E4AEE1" w14:textId="77777777" w:rsidR="00031D68" w:rsidRDefault="00D75B8C">
            <w:pPr>
              <w:pStyle w:val="TableParagraph"/>
              <w:spacing w:before="1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-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15AD5B" w14:textId="77777777" w:rsidR="00031D68" w:rsidRDefault="00031D68">
            <w:pPr>
              <w:pStyle w:val="TableParagraph"/>
              <w:spacing w:before="1"/>
              <w:rPr>
                <w:rFonts w:ascii="Times New Roman"/>
              </w:rPr>
            </w:pPr>
          </w:p>
          <w:p w14:paraId="6EA837B3" w14:textId="77777777" w:rsidR="00031D68" w:rsidRDefault="00D75B8C">
            <w:pPr>
              <w:pStyle w:val="TableParagraph"/>
              <w:spacing w:before="1"/>
              <w:ind w:left="1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-</w:t>
            </w:r>
          </w:p>
        </w:tc>
      </w:tr>
      <w:tr w:rsidR="00031D68" w14:paraId="59BACF8A" w14:textId="77777777">
        <w:trPr>
          <w:trHeight w:val="1010"/>
        </w:trPr>
        <w:tc>
          <w:tcPr>
            <w:tcW w:w="582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2C1A98" w14:textId="77777777" w:rsidR="00031D68" w:rsidRDefault="00031D6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6605373F" w14:textId="77777777" w:rsidR="00031D68" w:rsidRDefault="00D75B8C">
            <w:pPr>
              <w:pStyle w:val="TableParagraph"/>
              <w:spacing w:line="242" w:lineRule="auto"/>
              <w:ind w:left="28" w:right="97"/>
              <w:rPr>
                <w:sz w:val="14"/>
              </w:rPr>
            </w:pPr>
            <w:r>
              <w:rPr>
                <w:sz w:val="14"/>
              </w:rPr>
              <w:t>Afixar, no local do empreendimento, placa indicativa do licenciamento ambiental, de acordo com a Resolução COEMA Nº 01/2000.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2559CE" w14:textId="77777777" w:rsidR="00031D68" w:rsidRDefault="00031D68">
            <w:pPr>
              <w:pStyle w:val="TableParagraph"/>
              <w:rPr>
                <w:rFonts w:ascii="Times New Roman"/>
                <w:sz w:val="16"/>
              </w:rPr>
            </w:pPr>
          </w:p>
          <w:p w14:paraId="40F31F95" w14:textId="4DBFD786" w:rsidR="00031D68" w:rsidRDefault="00972E0E">
            <w:pPr>
              <w:pStyle w:val="TableParagraph"/>
              <w:spacing w:before="102"/>
              <w:ind w:left="485" w:right="4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0F78C3" w14:textId="77777777" w:rsidR="00031D68" w:rsidRDefault="00031D68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4E989E51" w14:textId="1C0DC2C9" w:rsidR="00031D68" w:rsidRDefault="00D75B8C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line="242" w:lineRule="auto"/>
              <w:ind w:right="474" w:firstLine="38"/>
              <w:rPr>
                <w:sz w:val="14"/>
              </w:rPr>
            </w:pPr>
            <w:r>
              <w:rPr>
                <w:sz w:val="14"/>
              </w:rPr>
              <w:t>Arquivo (Modelo da Placa)</w:t>
            </w:r>
            <w:r>
              <w:rPr>
                <w:spacing w:val="-11"/>
                <w:sz w:val="14"/>
              </w:rPr>
              <w:t xml:space="preserve"> </w:t>
            </w:r>
            <w:r w:rsidR="00896032">
              <w:rPr>
                <w:spacing w:val="-11"/>
                <w:sz w:val="14"/>
              </w:rPr>
              <w:t xml:space="preserve"> a HL </w:t>
            </w:r>
            <w:r w:rsidR="00896032">
              <w:rPr>
                <w:sz w:val="14"/>
              </w:rPr>
              <w:t>enviará</w:t>
            </w:r>
            <w:r>
              <w:rPr>
                <w:sz w:val="14"/>
              </w:rPr>
              <w:t xml:space="preserve"> </w:t>
            </w:r>
            <w:r w:rsidR="00896032">
              <w:rPr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email.</w:t>
            </w:r>
          </w:p>
          <w:p w14:paraId="4FFE5C39" w14:textId="77777777" w:rsidR="00031D68" w:rsidRDefault="00031D68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6C24C587" w14:textId="77777777" w:rsidR="00031D68" w:rsidRDefault="00D75B8C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line="160" w:lineRule="atLeast"/>
              <w:ind w:right="184" w:firstLine="38"/>
              <w:rPr>
                <w:sz w:val="14"/>
              </w:rPr>
            </w:pPr>
            <w:r>
              <w:rPr>
                <w:sz w:val="14"/>
              </w:rPr>
              <w:t>Enviar foto como comprovação de cumprimento 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condicionante.</w:t>
            </w:r>
          </w:p>
        </w:tc>
      </w:tr>
      <w:tr w:rsidR="00031D68" w14:paraId="00D28716" w14:textId="77777777">
        <w:trPr>
          <w:trHeight w:val="685"/>
        </w:trPr>
        <w:tc>
          <w:tcPr>
            <w:tcW w:w="5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B8D8F1" w14:textId="77777777" w:rsidR="00031D68" w:rsidRDefault="00031D68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4678066" w14:textId="77777777" w:rsidR="00031D68" w:rsidRDefault="00D75B8C">
            <w:pPr>
              <w:pStyle w:val="TableParagraph"/>
              <w:ind w:left="28" w:right="145"/>
              <w:rPr>
                <w:sz w:val="14"/>
              </w:rPr>
            </w:pPr>
            <w:r>
              <w:rPr>
                <w:sz w:val="14"/>
              </w:rPr>
              <w:t>Manter esta Licença e demais documentos relativos ao cumprimento das condicionantes ora estabelecidas, disponíveis à fiscalização da SEMACE.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B5A3CB" w14:textId="77777777" w:rsidR="00031D68" w:rsidRDefault="00031D68">
            <w:pPr>
              <w:pStyle w:val="TableParagraph"/>
              <w:rPr>
                <w:rFonts w:ascii="Times New Roman"/>
                <w:sz w:val="16"/>
              </w:rPr>
            </w:pPr>
          </w:p>
          <w:p w14:paraId="40597B50" w14:textId="77777777" w:rsidR="00031D68" w:rsidRDefault="00D75B8C">
            <w:pPr>
              <w:pStyle w:val="TableParagraph"/>
              <w:spacing w:before="96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-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DC7A5D" w14:textId="77777777" w:rsidR="00031D68" w:rsidRDefault="00031D68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C4F1481" w14:textId="0A06D09F" w:rsidR="00031D68" w:rsidRDefault="00972E0E">
            <w:pPr>
              <w:pStyle w:val="TableParagraph"/>
              <w:ind w:left="22" w:right="172"/>
              <w:rPr>
                <w:sz w:val="14"/>
              </w:rPr>
            </w:pPr>
            <w:r>
              <w:rPr>
                <w:sz w:val="14"/>
              </w:rPr>
              <w:t xml:space="preserve">                     -</w:t>
            </w:r>
          </w:p>
        </w:tc>
      </w:tr>
      <w:tr w:rsidR="00031D68" w14:paraId="0DCAFFDF" w14:textId="77777777">
        <w:trPr>
          <w:trHeight w:val="710"/>
        </w:trPr>
        <w:tc>
          <w:tcPr>
            <w:tcW w:w="5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9511F6" w14:textId="77777777" w:rsidR="00031D68" w:rsidRDefault="00D75B8C">
            <w:pPr>
              <w:pStyle w:val="TableParagraph"/>
              <w:spacing w:before="132"/>
              <w:ind w:left="28" w:right="4"/>
              <w:jc w:val="both"/>
              <w:rPr>
                <w:sz w:val="14"/>
              </w:rPr>
            </w:pPr>
            <w:r>
              <w:rPr>
                <w:sz w:val="14"/>
              </w:rPr>
              <w:t>A empresa deverá comunicar previamente à SEMACE o encerramento ou suspensão das atividades. Em caso de encerramento, será emitido Termo de Referência para a elaboração do respectivo plano, a ser submetido à análise e aprovação.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DEE256" w14:textId="77777777" w:rsidR="00031D68" w:rsidRDefault="00031D68">
            <w:pPr>
              <w:pStyle w:val="TableParagraph"/>
              <w:rPr>
                <w:rFonts w:ascii="Times New Roman"/>
                <w:sz w:val="16"/>
              </w:rPr>
            </w:pPr>
          </w:p>
          <w:p w14:paraId="2D9DC5A9" w14:textId="77777777" w:rsidR="00031D68" w:rsidRDefault="00D75B8C">
            <w:pPr>
              <w:pStyle w:val="TableParagraph"/>
              <w:spacing w:before="107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-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B4C05F" w14:textId="77777777" w:rsidR="00031D68" w:rsidRDefault="00031D68">
            <w:pPr>
              <w:pStyle w:val="TableParagraph"/>
              <w:rPr>
                <w:rFonts w:ascii="Times New Roman"/>
                <w:sz w:val="16"/>
              </w:rPr>
            </w:pPr>
          </w:p>
          <w:p w14:paraId="6944C1C8" w14:textId="77777777" w:rsidR="00031D68" w:rsidRDefault="00D75B8C">
            <w:pPr>
              <w:pStyle w:val="TableParagraph"/>
              <w:spacing w:before="107"/>
              <w:ind w:left="22"/>
              <w:rPr>
                <w:sz w:val="14"/>
              </w:rPr>
            </w:pPr>
            <w:r>
              <w:rPr>
                <w:sz w:val="14"/>
              </w:rPr>
              <w:t>Comunicar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à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HL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casos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informados.</w:t>
            </w:r>
          </w:p>
        </w:tc>
      </w:tr>
      <w:tr w:rsidR="00031D68" w14:paraId="71397BF1" w14:textId="77777777">
        <w:trPr>
          <w:trHeight w:val="563"/>
        </w:trPr>
        <w:tc>
          <w:tcPr>
            <w:tcW w:w="5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C6C084" w14:textId="77777777" w:rsidR="00031D68" w:rsidRDefault="00031D68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6D44BC3" w14:textId="77777777" w:rsidR="00031D68" w:rsidRDefault="00D75B8C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sz w:val="14"/>
              </w:rPr>
              <w:t>Manter o Alvará de Funcionamento Atualizado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6B6070" w14:textId="77777777" w:rsidR="00031D68" w:rsidRDefault="00031D68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075F9869" w14:textId="77777777" w:rsidR="00031D68" w:rsidRDefault="00D75B8C">
            <w:pPr>
              <w:pStyle w:val="TableParagraph"/>
              <w:spacing w:before="1"/>
              <w:ind w:left="30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-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6A0F3" w14:textId="7A8186F2" w:rsidR="00031D68" w:rsidRDefault="009B506D">
            <w:pPr>
              <w:pStyle w:val="TableParagraph"/>
              <w:spacing w:before="60"/>
              <w:ind w:left="22" w:right="3"/>
              <w:jc w:val="both"/>
              <w:rPr>
                <w:sz w:val="14"/>
              </w:rPr>
            </w:pPr>
            <w:r>
              <w:rPr>
                <w:sz w:val="14"/>
              </w:rPr>
              <w:t>Emissão e apresentação do documento quando o empreendimento estiver operando conforme a Licença.</w:t>
            </w:r>
          </w:p>
        </w:tc>
      </w:tr>
      <w:tr w:rsidR="00031D68" w14:paraId="377E768D" w14:textId="77777777">
        <w:trPr>
          <w:trHeight w:val="700"/>
        </w:trPr>
        <w:tc>
          <w:tcPr>
            <w:tcW w:w="5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54BB85" w14:textId="77777777" w:rsidR="00031D68" w:rsidRDefault="00031D68">
            <w:pPr>
              <w:pStyle w:val="TableParagraph"/>
              <w:rPr>
                <w:rFonts w:ascii="Times New Roman"/>
                <w:sz w:val="18"/>
              </w:rPr>
            </w:pPr>
          </w:p>
          <w:p w14:paraId="5EAAB79A" w14:textId="77777777" w:rsidR="00031D68" w:rsidRDefault="00D75B8C">
            <w:pPr>
              <w:pStyle w:val="TableParagraph"/>
              <w:ind w:left="28" w:right="318"/>
              <w:rPr>
                <w:sz w:val="14"/>
              </w:rPr>
            </w:pPr>
            <w:r>
              <w:rPr>
                <w:sz w:val="14"/>
              </w:rPr>
              <w:t>Manter os EPI’s dos funcionários adequados aos tipos de atividades exercida, conforme NR-6 do Ministério do Trabalho.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528A6D" w14:textId="77777777" w:rsidR="00031D68" w:rsidRDefault="00031D68">
            <w:pPr>
              <w:pStyle w:val="TableParagraph"/>
              <w:rPr>
                <w:rFonts w:ascii="Times New Roman"/>
                <w:sz w:val="16"/>
              </w:rPr>
            </w:pPr>
          </w:p>
          <w:p w14:paraId="37955EA0" w14:textId="77777777" w:rsidR="00031D68" w:rsidRDefault="00D75B8C">
            <w:pPr>
              <w:pStyle w:val="TableParagraph"/>
              <w:spacing w:before="105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-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5BF098" w14:textId="77777777" w:rsidR="00031D68" w:rsidRDefault="00031D68">
            <w:pPr>
              <w:pStyle w:val="TableParagraph"/>
              <w:rPr>
                <w:rFonts w:ascii="Times New Roman"/>
                <w:sz w:val="18"/>
              </w:rPr>
            </w:pPr>
          </w:p>
          <w:p w14:paraId="7A29FA91" w14:textId="19498683" w:rsidR="00031D68" w:rsidRDefault="00972E0E">
            <w:pPr>
              <w:pStyle w:val="TableParagraph"/>
              <w:ind w:left="29" w:right="305"/>
              <w:rPr>
                <w:sz w:val="14"/>
              </w:rPr>
            </w:pPr>
            <w:r>
              <w:rPr>
                <w:sz w:val="14"/>
              </w:rPr>
              <w:t xml:space="preserve">A Intrapack </w:t>
            </w:r>
            <w:r w:rsidR="00D75B8C">
              <w:rPr>
                <w:sz w:val="14"/>
              </w:rPr>
              <w:t xml:space="preserve"> é a responsável por este acompanhamento.</w:t>
            </w:r>
          </w:p>
        </w:tc>
      </w:tr>
      <w:tr w:rsidR="00031D68" w14:paraId="570F98FC" w14:textId="77777777">
        <w:trPr>
          <w:trHeight w:val="566"/>
        </w:trPr>
        <w:tc>
          <w:tcPr>
            <w:tcW w:w="5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96CC07" w14:textId="77777777" w:rsidR="00031D68" w:rsidRDefault="00031D68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791DE2FC" w14:textId="77777777" w:rsidR="00031D68" w:rsidRDefault="00D75B8C">
            <w:pPr>
              <w:pStyle w:val="TableParagraph"/>
              <w:spacing w:before="1"/>
              <w:ind w:left="28"/>
              <w:rPr>
                <w:sz w:val="14"/>
              </w:rPr>
            </w:pPr>
            <w:r>
              <w:rPr>
                <w:sz w:val="14"/>
              </w:rPr>
              <w:t>Promover a manutenção adequada dos equipamentos e maquinários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99D177" w14:textId="77777777" w:rsidR="00031D68" w:rsidRDefault="00031D68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4A0575B5" w14:textId="77777777" w:rsidR="00031D68" w:rsidRDefault="00D75B8C">
            <w:pPr>
              <w:pStyle w:val="TableParagraph"/>
              <w:spacing w:before="1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-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81726D" w14:textId="5DD5B81B" w:rsidR="00031D68" w:rsidRDefault="00972E0E">
            <w:pPr>
              <w:pStyle w:val="TableParagraph"/>
              <w:spacing w:before="34" w:line="278" w:lineRule="auto"/>
              <w:ind w:left="41" w:right="293"/>
              <w:rPr>
                <w:sz w:val="14"/>
              </w:rPr>
            </w:pPr>
            <w:r>
              <w:rPr>
                <w:sz w:val="14"/>
              </w:rPr>
              <w:t>A Intrapack</w:t>
            </w:r>
            <w:r w:rsidR="00D75B8C">
              <w:rPr>
                <w:sz w:val="14"/>
              </w:rPr>
              <w:t xml:space="preserve"> é a responsável por este acompanhamento.</w:t>
            </w:r>
          </w:p>
        </w:tc>
      </w:tr>
      <w:tr w:rsidR="00031D68" w14:paraId="6DB78341" w14:textId="77777777">
        <w:trPr>
          <w:trHeight w:val="705"/>
        </w:trPr>
        <w:tc>
          <w:tcPr>
            <w:tcW w:w="5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6CF024" w14:textId="77777777" w:rsidR="00031D68" w:rsidRDefault="00031D68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4A453A78" w14:textId="77777777" w:rsidR="00031D68" w:rsidRDefault="00D75B8C">
            <w:pPr>
              <w:pStyle w:val="TableParagraph"/>
              <w:spacing w:line="160" w:lineRule="atLeast"/>
              <w:ind w:left="28" w:right="145"/>
              <w:rPr>
                <w:sz w:val="14"/>
              </w:rPr>
            </w:pPr>
            <w:r>
              <w:rPr>
                <w:sz w:val="14"/>
              </w:rPr>
              <w:t>Armazenar os resíduos sólidos não reaproveitáveis em recipientes fechados e em área coberta e com piso impermeável, encaminhando-os para coleta de logística reversa quando for o caso.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E0D992" w14:textId="77777777" w:rsidR="00031D68" w:rsidRDefault="00031D68">
            <w:pPr>
              <w:pStyle w:val="TableParagraph"/>
              <w:rPr>
                <w:rFonts w:ascii="Times New Roman"/>
                <w:sz w:val="16"/>
              </w:rPr>
            </w:pPr>
          </w:p>
          <w:p w14:paraId="390796EC" w14:textId="77777777" w:rsidR="00031D68" w:rsidRDefault="00D75B8C">
            <w:pPr>
              <w:pStyle w:val="TableParagraph"/>
              <w:spacing w:before="107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-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35B040" w14:textId="132EA7DA" w:rsidR="00031D68" w:rsidRDefault="00972E0E">
            <w:pPr>
              <w:pStyle w:val="TableParagraph"/>
              <w:spacing w:before="48" w:line="160" w:lineRule="atLeast"/>
              <w:ind w:left="29" w:right="1"/>
              <w:jc w:val="both"/>
              <w:rPr>
                <w:sz w:val="14"/>
              </w:rPr>
            </w:pPr>
            <w:r>
              <w:rPr>
                <w:sz w:val="14"/>
              </w:rPr>
              <w:t>A Intrapack deverá m</w:t>
            </w:r>
            <w:r w:rsidR="00D75B8C">
              <w:rPr>
                <w:sz w:val="14"/>
              </w:rPr>
              <w:t>anter</w:t>
            </w:r>
            <w:r w:rsidR="00D75B8C">
              <w:rPr>
                <w:spacing w:val="-10"/>
                <w:sz w:val="14"/>
              </w:rPr>
              <w:t xml:space="preserve"> </w:t>
            </w:r>
            <w:r w:rsidR="00D75B8C">
              <w:rPr>
                <w:sz w:val="14"/>
              </w:rPr>
              <w:t>o</w:t>
            </w:r>
            <w:r w:rsidR="00D75B8C">
              <w:rPr>
                <w:spacing w:val="-8"/>
                <w:sz w:val="14"/>
              </w:rPr>
              <w:t xml:space="preserve"> </w:t>
            </w:r>
            <w:r w:rsidR="00D75B8C">
              <w:rPr>
                <w:sz w:val="14"/>
              </w:rPr>
              <w:t>gerenciamento</w:t>
            </w:r>
            <w:r w:rsidR="00D75B8C">
              <w:rPr>
                <w:spacing w:val="-7"/>
                <w:sz w:val="14"/>
              </w:rPr>
              <w:t xml:space="preserve"> </w:t>
            </w:r>
            <w:r w:rsidR="00D75B8C">
              <w:rPr>
                <w:sz w:val="14"/>
              </w:rPr>
              <w:t>adequado</w:t>
            </w:r>
            <w:r w:rsidR="00D75B8C">
              <w:rPr>
                <w:spacing w:val="-7"/>
                <w:sz w:val="14"/>
              </w:rPr>
              <w:t xml:space="preserve"> </w:t>
            </w:r>
            <w:r w:rsidR="00D75B8C">
              <w:rPr>
                <w:sz w:val="14"/>
              </w:rPr>
              <w:t>dos resíduos.</w:t>
            </w:r>
          </w:p>
        </w:tc>
      </w:tr>
      <w:tr w:rsidR="00031D68" w14:paraId="3A2CE249" w14:textId="77777777">
        <w:trPr>
          <w:trHeight w:val="1126"/>
        </w:trPr>
        <w:tc>
          <w:tcPr>
            <w:tcW w:w="5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334621" w14:textId="77777777" w:rsidR="00031D68" w:rsidRDefault="00031D68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 w14:paraId="2E164106" w14:textId="77777777" w:rsidR="00031D68" w:rsidRDefault="00D75B8C">
            <w:pPr>
              <w:pStyle w:val="TableParagraph"/>
              <w:ind w:left="28" w:right="126"/>
              <w:jc w:val="both"/>
              <w:rPr>
                <w:sz w:val="14"/>
              </w:rPr>
            </w:pPr>
            <w:r>
              <w:rPr>
                <w:sz w:val="14"/>
              </w:rPr>
              <w:t>Manter atualizados e apresentar quando solicitar a renovação desta licença: Alvará de Funcionamento expedido pela prefeitura municipal; Certificado de Regularidade no Cadastro Técnico Federal-CTF, emitido pelo IBAMA; Relatório de Acompanhamento e Monitoramento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Ambiental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RAMA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Relatórios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Gerenciamento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Resíduos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Sólidos</w:t>
            </w:r>
          </w:p>
          <w:p w14:paraId="26C93F46" w14:textId="77777777" w:rsidR="00031D68" w:rsidRDefault="00D75B8C">
            <w:pPr>
              <w:pStyle w:val="TableParagraph"/>
              <w:spacing w:line="160" w:lineRule="exact"/>
              <w:ind w:left="28"/>
              <w:jc w:val="both"/>
              <w:rPr>
                <w:sz w:val="14"/>
              </w:rPr>
            </w:pPr>
            <w:r>
              <w:rPr>
                <w:sz w:val="14"/>
              </w:rPr>
              <w:t>- Automonitoramento.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8D2DD5" w14:textId="77777777" w:rsidR="00031D68" w:rsidRDefault="00031D68">
            <w:pPr>
              <w:pStyle w:val="TableParagraph"/>
              <w:rPr>
                <w:rFonts w:ascii="Times New Roman"/>
                <w:sz w:val="16"/>
              </w:rPr>
            </w:pPr>
          </w:p>
          <w:p w14:paraId="70241034" w14:textId="77777777" w:rsidR="00031D68" w:rsidRDefault="00031D68">
            <w:pPr>
              <w:pStyle w:val="TableParagraph"/>
              <w:rPr>
                <w:rFonts w:ascii="Times New Roman"/>
                <w:sz w:val="16"/>
              </w:rPr>
            </w:pPr>
          </w:p>
          <w:p w14:paraId="328E9433" w14:textId="77777777" w:rsidR="00031D68" w:rsidRDefault="00D75B8C">
            <w:pPr>
              <w:pStyle w:val="TableParagraph"/>
              <w:spacing w:before="134"/>
              <w:ind w:left="25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-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D8455E" w14:textId="77777777" w:rsidR="00031D68" w:rsidRDefault="00031D68">
            <w:pPr>
              <w:pStyle w:val="TableParagraph"/>
              <w:rPr>
                <w:rFonts w:ascii="Times New Roman"/>
                <w:sz w:val="19"/>
              </w:rPr>
            </w:pPr>
          </w:p>
          <w:p w14:paraId="5DE9DCA5" w14:textId="77777777" w:rsidR="00031D68" w:rsidRDefault="00D75B8C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-Alvará de Funcionamento: Anual</w:t>
            </w:r>
          </w:p>
          <w:p w14:paraId="6FC29A4D" w14:textId="3596ADE2" w:rsidR="00031D68" w:rsidRDefault="00D75B8C">
            <w:pPr>
              <w:pStyle w:val="TableParagraph"/>
              <w:spacing w:before="26"/>
              <w:ind w:left="22"/>
              <w:rPr>
                <w:sz w:val="14"/>
              </w:rPr>
            </w:pPr>
            <w:r>
              <w:rPr>
                <w:sz w:val="14"/>
              </w:rPr>
              <w:t xml:space="preserve">- CTF: </w:t>
            </w:r>
            <w:r w:rsidR="00972E0E">
              <w:rPr>
                <w:sz w:val="14"/>
              </w:rPr>
              <w:t>19.05</w:t>
            </w:r>
            <w:r w:rsidR="00645212">
              <w:rPr>
                <w:sz w:val="14"/>
              </w:rPr>
              <w:t>.</w:t>
            </w:r>
            <w:r>
              <w:rPr>
                <w:sz w:val="14"/>
              </w:rPr>
              <w:t>2020</w:t>
            </w:r>
          </w:p>
          <w:p w14:paraId="17A67F8D" w14:textId="6BB10892" w:rsidR="00031D68" w:rsidRDefault="00D75B8C">
            <w:pPr>
              <w:pStyle w:val="TableParagraph"/>
              <w:spacing w:before="24"/>
              <w:ind w:left="22"/>
              <w:rPr>
                <w:sz w:val="14"/>
              </w:rPr>
            </w:pPr>
            <w:r>
              <w:rPr>
                <w:sz w:val="14"/>
              </w:rPr>
              <w:t xml:space="preserve">-RAMA: </w:t>
            </w:r>
            <w:r w:rsidR="00972E0E">
              <w:rPr>
                <w:sz w:val="14"/>
              </w:rPr>
              <w:t>23.04</w:t>
            </w:r>
            <w:r>
              <w:rPr>
                <w:sz w:val="14"/>
              </w:rPr>
              <w:t>.2021</w:t>
            </w:r>
          </w:p>
          <w:p w14:paraId="6977F633" w14:textId="5092E474" w:rsidR="00031D68" w:rsidRDefault="00D75B8C">
            <w:pPr>
              <w:pStyle w:val="TableParagraph"/>
              <w:spacing w:before="24"/>
              <w:ind w:left="22"/>
              <w:rPr>
                <w:sz w:val="14"/>
              </w:rPr>
            </w:pPr>
            <w:r>
              <w:rPr>
                <w:sz w:val="14"/>
              </w:rPr>
              <w:t xml:space="preserve">-Automonitoramento: </w:t>
            </w:r>
            <w:r w:rsidR="00972E0E">
              <w:rPr>
                <w:sz w:val="14"/>
              </w:rPr>
              <w:t>23.</w:t>
            </w:r>
            <w:r w:rsidR="009B506D">
              <w:rPr>
                <w:sz w:val="14"/>
              </w:rPr>
              <w:t>11</w:t>
            </w:r>
            <w:r>
              <w:rPr>
                <w:sz w:val="14"/>
              </w:rPr>
              <w:t>.202</w:t>
            </w:r>
            <w:r w:rsidR="009B506D">
              <w:rPr>
                <w:sz w:val="14"/>
              </w:rPr>
              <w:t>0</w:t>
            </w:r>
          </w:p>
        </w:tc>
      </w:tr>
      <w:tr w:rsidR="00031D68" w14:paraId="2D7E39A1" w14:textId="77777777">
        <w:trPr>
          <w:trHeight w:val="702"/>
        </w:trPr>
        <w:tc>
          <w:tcPr>
            <w:tcW w:w="58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E99A" w14:textId="77777777" w:rsidR="00031D68" w:rsidRDefault="00D75B8C">
            <w:pPr>
              <w:pStyle w:val="TableParagraph"/>
              <w:spacing w:before="127"/>
              <w:ind w:left="28" w:right="133"/>
              <w:jc w:val="both"/>
              <w:rPr>
                <w:sz w:val="14"/>
              </w:rPr>
            </w:pPr>
            <w:r>
              <w:rPr>
                <w:sz w:val="14"/>
              </w:rPr>
              <w:t>ADVERTÊNCIA: O descumprimento das condicionantes da presente licença implicará na aplicação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penalidades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previstas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legislação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ambiental,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prejuízo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obrigação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 reparar quaisquer danos ambientais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causados.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A60A" w14:textId="77777777" w:rsidR="00031D68" w:rsidRDefault="00031D68">
            <w:pPr>
              <w:pStyle w:val="TableParagraph"/>
              <w:rPr>
                <w:rFonts w:ascii="Times New Roman"/>
                <w:sz w:val="16"/>
              </w:rPr>
            </w:pPr>
          </w:p>
          <w:p w14:paraId="133DB975" w14:textId="77777777" w:rsidR="00031D68" w:rsidRDefault="00D75B8C">
            <w:pPr>
              <w:pStyle w:val="TableParagraph"/>
              <w:spacing w:before="104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-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7F97" w14:textId="77777777" w:rsidR="00031D68" w:rsidRDefault="00031D68">
            <w:pPr>
              <w:pStyle w:val="TableParagraph"/>
              <w:rPr>
                <w:rFonts w:ascii="Times New Roman"/>
                <w:sz w:val="16"/>
              </w:rPr>
            </w:pPr>
          </w:p>
          <w:p w14:paraId="282BA5A3" w14:textId="77777777" w:rsidR="00031D68" w:rsidRDefault="00D75B8C">
            <w:pPr>
              <w:pStyle w:val="TableParagraph"/>
              <w:spacing w:before="104"/>
              <w:ind w:left="29"/>
              <w:rPr>
                <w:sz w:val="14"/>
              </w:rPr>
            </w:pPr>
            <w:r>
              <w:rPr>
                <w:sz w:val="14"/>
              </w:rPr>
              <w:t>O responsável está ciente</w:t>
            </w:r>
          </w:p>
        </w:tc>
      </w:tr>
      <w:tr w:rsidR="00031D68" w14:paraId="70DF5EE0" w14:textId="77777777">
        <w:trPr>
          <w:trHeight w:val="297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5E75A00A" w14:textId="77777777" w:rsidR="00031D68" w:rsidRDefault="00D75B8C">
            <w:pPr>
              <w:pStyle w:val="TableParagraph"/>
              <w:spacing w:before="87"/>
              <w:ind w:right="156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PRINCIPAIS CONDICIONANTES COM PRAZO*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61899591" w14:textId="77777777" w:rsidR="00031D68" w:rsidRDefault="00D75B8C">
            <w:pPr>
              <w:pStyle w:val="TableParagraph"/>
              <w:spacing w:before="87"/>
              <w:ind w:left="472" w:right="4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STATUS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63BD821" w14:textId="77777777" w:rsidR="00031D68" w:rsidRDefault="00D75B8C">
            <w:pPr>
              <w:pStyle w:val="TableParagraph"/>
              <w:spacing w:before="87"/>
              <w:ind w:left="689"/>
              <w:rPr>
                <w:b/>
                <w:sz w:val="14"/>
              </w:rPr>
            </w:pPr>
            <w:r>
              <w:rPr>
                <w:b/>
                <w:sz w:val="14"/>
              </w:rPr>
              <w:t>OBSERVAÇÕES</w:t>
            </w:r>
          </w:p>
        </w:tc>
      </w:tr>
      <w:tr w:rsidR="00031D68" w14:paraId="5CC796F2" w14:textId="77777777">
        <w:trPr>
          <w:trHeight w:val="530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479F00" w14:textId="77777777" w:rsidR="00031D68" w:rsidRDefault="00D75B8C">
            <w:pPr>
              <w:pStyle w:val="TableParagraph"/>
              <w:spacing w:before="120" w:line="242" w:lineRule="auto"/>
              <w:ind w:left="28" w:right="145"/>
              <w:rPr>
                <w:sz w:val="14"/>
              </w:rPr>
            </w:pPr>
            <w:bookmarkStart w:id="0" w:name="_Hlk39567477"/>
            <w:r>
              <w:rPr>
                <w:sz w:val="14"/>
              </w:rPr>
              <w:t>Publicar o recebimento desta Licença no prazo de até 30 (trinta) dias corridos subsequentes à data da sua concessão.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ABA4EF" w14:textId="77777777" w:rsidR="00031D68" w:rsidRDefault="00031D68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75E327CF" w14:textId="49AFD002" w:rsidR="00031D68" w:rsidRDefault="00CD298E" w:rsidP="00CD298E">
            <w:pPr>
              <w:pStyle w:val="TableParagraph"/>
              <w:spacing w:after="240"/>
              <w:ind w:left="461" w:right="4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Aguardando a Publicação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7B18E0" w14:textId="77777777" w:rsidR="00031D68" w:rsidRDefault="00031D68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0AC1CD47" w14:textId="53056745" w:rsidR="00031D68" w:rsidRDefault="00CD298E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Responsabilidade da Intrapack.</w:t>
            </w:r>
          </w:p>
          <w:p w14:paraId="115796D0" w14:textId="68416DBF" w:rsidR="009B506D" w:rsidRDefault="009B506D">
            <w:pPr>
              <w:pStyle w:val="TableParagraph"/>
              <w:ind w:left="22"/>
              <w:rPr>
                <w:sz w:val="14"/>
              </w:rPr>
            </w:pPr>
          </w:p>
          <w:p w14:paraId="311C1D77" w14:textId="5AF98E95" w:rsidR="009B506D" w:rsidRDefault="009B506D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Data limite: 1705/2020</w:t>
            </w:r>
          </w:p>
          <w:p w14:paraId="5B7619C6" w14:textId="5837EBC8" w:rsidR="00CD298E" w:rsidRDefault="00CD298E">
            <w:pPr>
              <w:pStyle w:val="TableParagraph"/>
              <w:ind w:left="22"/>
              <w:rPr>
                <w:sz w:val="14"/>
              </w:rPr>
            </w:pPr>
          </w:p>
        </w:tc>
      </w:tr>
      <w:bookmarkEnd w:id="0"/>
      <w:tr w:rsidR="00031D68" w14:paraId="0FA9C475" w14:textId="77777777">
        <w:trPr>
          <w:trHeight w:val="698"/>
        </w:trPr>
        <w:tc>
          <w:tcPr>
            <w:tcW w:w="5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F6AFD5" w14:textId="280A057B" w:rsidR="00031D68" w:rsidRDefault="00D75B8C">
            <w:pPr>
              <w:pStyle w:val="TableParagraph"/>
              <w:spacing w:before="46" w:line="160" w:lineRule="atLeast"/>
              <w:ind w:left="28" w:right="123"/>
              <w:jc w:val="both"/>
              <w:rPr>
                <w:sz w:val="14"/>
              </w:rPr>
            </w:pPr>
            <w:r>
              <w:rPr>
                <w:sz w:val="14"/>
              </w:rPr>
              <w:t xml:space="preserve">A renovação desta licença poderá ser protocolada em até </w:t>
            </w:r>
            <w:r w:rsidR="009B506D">
              <w:rPr>
                <w:sz w:val="14"/>
              </w:rPr>
              <w:t>60</w:t>
            </w:r>
            <w:r>
              <w:rPr>
                <w:sz w:val="14"/>
              </w:rPr>
              <w:t xml:space="preserve"> (</w:t>
            </w:r>
            <w:r w:rsidR="009B506D">
              <w:rPr>
                <w:sz w:val="14"/>
              </w:rPr>
              <w:t xml:space="preserve">sessenta </w:t>
            </w:r>
            <w:r>
              <w:rPr>
                <w:sz w:val="14"/>
              </w:rPr>
              <w:t>) dias de antecedência da expiração do seu prazo de validade, conforme Resolução COEMA n° 10/2015, o que lhe conferirá a prorrogação automática de seu prazo de validade até a manifestação definitiva da SEMACE.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C46A20" w14:textId="77777777" w:rsidR="00031D68" w:rsidRDefault="00D75B8C">
            <w:pPr>
              <w:pStyle w:val="TableParagraph"/>
              <w:spacing w:before="125"/>
              <w:ind w:left="311" w:right="95" w:hanging="240"/>
              <w:rPr>
                <w:b/>
                <w:sz w:val="14"/>
              </w:rPr>
            </w:pPr>
            <w:r>
              <w:rPr>
                <w:b/>
                <w:sz w:val="14"/>
              </w:rPr>
              <w:t>Aguardando período de renovação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282F42" w14:textId="518FA32C" w:rsidR="00031D68" w:rsidRDefault="00D75B8C">
            <w:pPr>
              <w:pStyle w:val="TableParagraph"/>
              <w:spacing w:before="125"/>
              <w:ind w:left="22" w:right="12"/>
              <w:jc w:val="both"/>
              <w:rPr>
                <w:sz w:val="14"/>
              </w:rPr>
            </w:pPr>
            <w:r>
              <w:rPr>
                <w:sz w:val="14"/>
              </w:rPr>
              <w:t xml:space="preserve">O prazo para protocolar o pedido de renovação junto à Semace é de até </w:t>
            </w:r>
            <w:r w:rsidR="009B506D">
              <w:rPr>
                <w:sz w:val="14"/>
              </w:rPr>
              <w:t>16/02/2026</w:t>
            </w:r>
            <w:r>
              <w:rPr>
                <w:color w:val="FF0000"/>
                <w:sz w:val="14"/>
              </w:rPr>
              <w:t>*</w:t>
            </w:r>
          </w:p>
        </w:tc>
      </w:tr>
      <w:tr w:rsidR="00031D68" w14:paraId="6810A2EE" w14:textId="77777777">
        <w:trPr>
          <w:trHeight w:val="424"/>
        </w:trPr>
        <w:tc>
          <w:tcPr>
            <w:tcW w:w="58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68EF" w14:textId="77777777" w:rsidR="00031D68" w:rsidRDefault="00031D68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4EE08E03" w14:textId="77777777" w:rsidR="00031D68" w:rsidRDefault="00D75B8C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Relatório de Acompanhamento e Monitoramento Ambiental - RAMA.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E63A" w14:textId="77777777" w:rsidR="00031D68" w:rsidRDefault="00D75B8C">
            <w:pPr>
              <w:pStyle w:val="TableParagraph"/>
              <w:spacing w:before="70"/>
              <w:ind w:left="400" w:right="100" w:hanging="334"/>
              <w:rPr>
                <w:b/>
                <w:sz w:val="14"/>
              </w:rPr>
            </w:pPr>
            <w:r>
              <w:rPr>
                <w:b/>
                <w:sz w:val="14"/>
              </w:rPr>
              <w:t>Aguardando período de entrega</w:t>
            </w:r>
          </w:p>
        </w:tc>
        <w:tc>
          <w:tcPr>
            <w:tcW w:w="24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1072" w14:textId="57FF21C4" w:rsidR="00031D68" w:rsidRDefault="00D75B8C">
            <w:pPr>
              <w:pStyle w:val="TableParagraph"/>
              <w:spacing w:before="70"/>
              <w:ind w:left="58" w:right="284"/>
              <w:rPr>
                <w:sz w:val="14"/>
              </w:rPr>
            </w:pPr>
            <w:r>
              <w:rPr>
                <w:sz w:val="14"/>
              </w:rPr>
              <w:t xml:space="preserve">Período de entrega: </w:t>
            </w:r>
            <w:r w:rsidR="00645212">
              <w:rPr>
                <w:sz w:val="14"/>
              </w:rPr>
              <w:t>23/04</w:t>
            </w:r>
            <w:r>
              <w:rPr>
                <w:sz w:val="14"/>
              </w:rPr>
              <w:t xml:space="preserve">/2021 a </w:t>
            </w:r>
            <w:r w:rsidR="00645212">
              <w:rPr>
                <w:sz w:val="14"/>
              </w:rPr>
              <w:t>22</w:t>
            </w:r>
            <w:r>
              <w:rPr>
                <w:sz w:val="14"/>
              </w:rPr>
              <w:t>/0</w:t>
            </w:r>
            <w:r w:rsidR="00645212">
              <w:rPr>
                <w:sz w:val="14"/>
              </w:rPr>
              <w:t>5</w:t>
            </w:r>
            <w:r>
              <w:rPr>
                <w:sz w:val="14"/>
              </w:rPr>
              <w:t xml:space="preserve">/2021 </w:t>
            </w:r>
            <w:r>
              <w:rPr>
                <w:color w:val="FF0000"/>
                <w:sz w:val="14"/>
              </w:rPr>
              <w:t>**</w:t>
            </w:r>
          </w:p>
        </w:tc>
      </w:tr>
      <w:tr w:rsidR="00CD298E" w14:paraId="5CFBCB35" w14:textId="77777777">
        <w:trPr>
          <w:trHeight w:val="556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47632B" w14:textId="77777777" w:rsidR="00CD298E" w:rsidRDefault="00CD298E" w:rsidP="00CD298E">
            <w:pPr>
              <w:pStyle w:val="TableParagraph"/>
              <w:spacing w:before="53"/>
              <w:ind w:left="28" w:right="97"/>
              <w:rPr>
                <w:sz w:val="14"/>
              </w:rPr>
            </w:pPr>
            <w:r>
              <w:rPr>
                <w:sz w:val="14"/>
              </w:rPr>
              <w:t>Apresentar, no prazo máximo de 30 (trinta) dias, a contar da emissão desta Licença o Cadastro Técnico Federal – CTF emitido pelo IBAMA.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473506" w14:textId="77777777" w:rsidR="00CD298E" w:rsidRDefault="00CD298E" w:rsidP="00CD298E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43D05339" w14:textId="41C9FD1F" w:rsidR="00CD298E" w:rsidRDefault="00CD298E" w:rsidP="00CD298E">
            <w:pPr>
              <w:pStyle w:val="TableParagraph"/>
              <w:spacing w:after="240"/>
              <w:ind w:left="461" w:right="45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Aguardando a Publicação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9D887D" w14:textId="77777777" w:rsidR="00CD298E" w:rsidRDefault="00CD298E" w:rsidP="00CD298E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5789DE3A" w14:textId="77777777" w:rsidR="00CD298E" w:rsidRDefault="00CD298E" w:rsidP="00CD298E">
            <w:pPr>
              <w:pStyle w:val="TableParagraph"/>
              <w:ind w:left="22"/>
              <w:rPr>
                <w:sz w:val="14"/>
              </w:rPr>
            </w:pPr>
            <w:r>
              <w:rPr>
                <w:sz w:val="14"/>
              </w:rPr>
              <w:t>Responsabilidade da Intrapack.</w:t>
            </w:r>
          </w:p>
          <w:p w14:paraId="55B26D89" w14:textId="77777777" w:rsidR="00CD298E" w:rsidRDefault="00CD298E" w:rsidP="00CD298E">
            <w:pPr>
              <w:pStyle w:val="TableParagraph"/>
              <w:ind w:left="58"/>
              <w:rPr>
                <w:sz w:val="14"/>
              </w:rPr>
            </w:pPr>
          </w:p>
          <w:p w14:paraId="197FF58C" w14:textId="3F309F72" w:rsidR="009B506D" w:rsidRDefault="009B506D" w:rsidP="00CD298E">
            <w:pPr>
              <w:pStyle w:val="TableParagraph"/>
              <w:ind w:left="58"/>
              <w:rPr>
                <w:sz w:val="14"/>
              </w:rPr>
            </w:pPr>
            <w:r>
              <w:rPr>
                <w:sz w:val="14"/>
              </w:rPr>
              <w:t>Data Limite: 17/04/2020</w:t>
            </w:r>
          </w:p>
        </w:tc>
      </w:tr>
    </w:tbl>
    <w:p w14:paraId="42AF97CE" w14:textId="77777777" w:rsidR="00031D68" w:rsidRDefault="00031D68">
      <w:pPr>
        <w:pStyle w:val="Corpodetexto"/>
        <w:spacing w:before="6"/>
        <w:rPr>
          <w:rFonts w:ascii="Times New Roman"/>
          <w:b w:val="0"/>
          <w:sz w:val="24"/>
        </w:rPr>
      </w:pPr>
    </w:p>
    <w:p w14:paraId="655F94B9" w14:textId="77777777" w:rsidR="00031D68" w:rsidRDefault="00D75B8C">
      <w:pPr>
        <w:pStyle w:val="PargrafodaLista"/>
        <w:numPr>
          <w:ilvl w:val="0"/>
          <w:numId w:val="1"/>
        </w:numPr>
        <w:tabs>
          <w:tab w:val="left" w:pos="845"/>
        </w:tabs>
        <w:spacing w:before="96"/>
        <w:ind w:hanging="109"/>
        <w:rPr>
          <w:b/>
          <w:sz w:val="16"/>
        </w:rPr>
      </w:pPr>
      <w:r>
        <w:rPr>
          <w:b/>
          <w:color w:val="FF0000"/>
          <w:sz w:val="16"/>
        </w:rPr>
        <w:t>A descrição fiel das condicionantes consta na</w:t>
      </w:r>
      <w:r>
        <w:rPr>
          <w:b/>
          <w:color w:val="FF0000"/>
          <w:spacing w:val="-6"/>
          <w:sz w:val="16"/>
        </w:rPr>
        <w:t xml:space="preserve"> </w:t>
      </w:r>
      <w:r>
        <w:rPr>
          <w:b/>
          <w:color w:val="FF0000"/>
          <w:sz w:val="16"/>
        </w:rPr>
        <w:t>Licença.</w:t>
      </w:r>
    </w:p>
    <w:p w14:paraId="1ED963B6" w14:textId="61BC641D" w:rsidR="00031D68" w:rsidRDefault="00D75B8C">
      <w:pPr>
        <w:pStyle w:val="PargrafodaLista"/>
        <w:numPr>
          <w:ilvl w:val="0"/>
          <w:numId w:val="1"/>
        </w:numPr>
        <w:tabs>
          <w:tab w:val="left" w:pos="845"/>
        </w:tabs>
        <w:ind w:hanging="109"/>
        <w:rPr>
          <w:b/>
          <w:sz w:val="16"/>
        </w:rPr>
      </w:pPr>
      <w:r>
        <w:rPr>
          <w:b/>
          <w:color w:val="FF0000"/>
          <w:sz w:val="16"/>
        </w:rPr>
        <w:t>O prazo final para protocolo da renovação da Licença de Operação na Semace é dia</w:t>
      </w:r>
      <w:r>
        <w:rPr>
          <w:b/>
          <w:color w:val="FF0000"/>
          <w:spacing w:val="-28"/>
          <w:sz w:val="16"/>
        </w:rPr>
        <w:t xml:space="preserve"> </w:t>
      </w:r>
      <w:r>
        <w:rPr>
          <w:b/>
          <w:color w:val="FF0000"/>
          <w:sz w:val="16"/>
        </w:rPr>
        <w:t>(</w:t>
      </w:r>
      <w:r w:rsidR="00645212">
        <w:rPr>
          <w:b/>
          <w:color w:val="FF0000"/>
          <w:sz w:val="16"/>
        </w:rPr>
        <w:t>1</w:t>
      </w:r>
      <w:r w:rsidR="009B506D">
        <w:rPr>
          <w:b/>
          <w:color w:val="FF0000"/>
          <w:sz w:val="16"/>
        </w:rPr>
        <w:t>6</w:t>
      </w:r>
      <w:r w:rsidR="00645212">
        <w:rPr>
          <w:b/>
          <w:color w:val="FF0000"/>
          <w:sz w:val="16"/>
        </w:rPr>
        <w:t>/</w:t>
      </w:r>
      <w:r w:rsidR="009B506D">
        <w:rPr>
          <w:b/>
          <w:color w:val="FF0000"/>
          <w:sz w:val="16"/>
        </w:rPr>
        <w:t>02/2026</w:t>
      </w:r>
      <w:r>
        <w:rPr>
          <w:b/>
          <w:color w:val="FF0000"/>
          <w:sz w:val="16"/>
        </w:rPr>
        <w:t>)</w:t>
      </w:r>
    </w:p>
    <w:p w14:paraId="14D3032E" w14:textId="064C19F0" w:rsidR="00031D68" w:rsidRDefault="00D75B8C">
      <w:pPr>
        <w:pStyle w:val="Corpodetexto"/>
        <w:spacing w:before="29" w:line="276" w:lineRule="auto"/>
        <w:ind w:left="736" w:right="1674"/>
      </w:pPr>
      <w:r>
        <w:rPr>
          <w:color w:val="FF0000"/>
        </w:rPr>
        <w:t xml:space="preserve">Portanto, entraremos em contato com a </w:t>
      </w:r>
      <w:r w:rsidR="00645212">
        <w:rPr>
          <w:color w:val="FF0000"/>
        </w:rPr>
        <w:t>Intrapack</w:t>
      </w:r>
      <w:r>
        <w:rPr>
          <w:color w:val="FF0000"/>
        </w:rPr>
        <w:t>, 03 meses antes do período estabelecido (</w:t>
      </w:r>
      <w:r w:rsidR="00645212">
        <w:rPr>
          <w:color w:val="FF0000"/>
        </w:rPr>
        <w:t>18/09/2025</w:t>
      </w:r>
      <w:r>
        <w:rPr>
          <w:color w:val="FF0000"/>
        </w:rPr>
        <w:t>) para solicitarmos os documentos atualizados que foram requeridos nas condicionantes.</w:t>
      </w:r>
    </w:p>
    <w:p w14:paraId="7E2DA8D0" w14:textId="1762AB7E" w:rsidR="00031D68" w:rsidRDefault="00D75B8C">
      <w:pPr>
        <w:pStyle w:val="Corpodetexto"/>
        <w:spacing w:line="178" w:lineRule="exact"/>
        <w:ind w:left="827"/>
      </w:pPr>
      <w:r>
        <w:rPr>
          <w:color w:val="FF0000"/>
        </w:rPr>
        <w:t xml:space="preserve">** A documentação necessária para elaboração do RAMA deverá estar disponível em </w:t>
      </w:r>
      <w:r w:rsidR="00645212">
        <w:rPr>
          <w:color w:val="FF0000"/>
        </w:rPr>
        <w:t>23/04/</w:t>
      </w:r>
      <w:r>
        <w:rPr>
          <w:color w:val="FF0000"/>
        </w:rPr>
        <w:t>2021.</w:t>
      </w:r>
    </w:p>
    <w:p w14:paraId="38B2411A" w14:textId="5B4B4F58" w:rsidR="00031D68" w:rsidRDefault="00D75B8C">
      <w:pPr>
        <w:pStyle w:val="Corpodetexto"/>
        <w:spacing w:before="35" w:line="276" w:lineRule="auto"/>
        <w:ind w:left="736" w:right="1391"/>
      </w:pPr>
      <w:r>
        <w:rPr>
          <w:color w:val="FF0000"/>
        </w:rPr>
        <w:t xml:space="preserve">Portanto, entraremos em contato com </w:t>
      </w:r>
      <w:r w:rsidR="00645212">
        <w:rPr>
          <w:color w:val="FF0000"/>
        </w:rPr>
        <w:t>a Intrapack</w:t>
      </w:r>
      <w:r>
        <w:rPr>
          <w:color w:val="FF0000"/>
        </w:rPr>
        <w:t xml:space="preserve"> para solicitarmos os documentos atualizados que foram requeridos nas condicionantes.</w:t>
      </w:r>
    </w:p>
    <w:sectPr w:rsidR="00031D68">
      <w:type w:val="continuous"/>
      <w:pgSz w:w="11920" w:h="16850"/>
      <w:pgMar w:top="260" w:right="4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66708"/>
    <w:multiLevelType w:val="hybridMultilevel"/>
    <w:tmpl w:val="CEAE7CE2"/>
    <w:lvl w:ilvl="0" w:tplc="8CB6C59C">
      <w:numFmt w:val="bullet"/>
      <w:lvlText w:val="*"/>
      <w:lvlJc w:val="left"/>
      <w:pPr>
        <w:ind w:left="844" w:hanging="108"/>
      </w:pPr>
      <w:rPr>
        <w:rFonts w:ascii="Arial" w:eastAsia="Arial" w:hAnsi="Arial" w:cs="Arial" w:hint="default"/>
        <w:b/>
        <w:bCs/>
        <w:color w:val="FF0000"/>
        <w:w w:val="100"/>
        <w:sz w:val="16"/>
        <w:szCs w:val="16"/>
        <w:lang w:val="pt-PT" w:eastAsia="pt-PT" w:bidi="pt-PT"/>
      </w:rPr>
    </w:lvl>
    <w:lvl w:ilvl="1" w:tplc="6EF8994E">
      <w:numFmt w:val="bullet"/>
      <w:lvlText w:val="•"/>
      <w:lvlJc w:val="left"/>
      <w:pPr>
        <w:ind w:left="1833" w:hanging="108"/>
      </w:pPr>
      <w:rPr>
        <w:rFonts w:hint="default"/>
        <w:lang w:val="pt-PT" w:eastAsia="pt-PT" w:bidi="pt-PT"/>
      </w:rPr>
    </w:lvl>
    <w:lvl w:ilvl="2" w:tplc="C6D4652C">
      <w:numFmt w:val="bullet"/>
      <w:lvlText w:val="•"/>
      <w:lvlJc w:val="left"/>
      <w:pPr>
        <w:ind w:left="2826" w:hanging="108"/>
      </w:pPr>
      <w:rPr>
        <w:rFonts w:hint="default"/>
        <w:lang w:val="pt-PT" w:eastAsia="pt-PT" w:bidi="pt-PT"/>
      </w:rPr>
    </w:lvl>
    <w:lvl w:ilvl="3" w:tplc="AC862786">
      <w:numFmt w:val="bullet"/>
      <w:lvlText w:val="•"/>
      <w:lvlJc w:val="left"/>
      <w:pPr>
        <w:ind w:left="3819" w:hanging="108"/>
      </w:pPr>
      <w:rPr>
        <w:rFonts w:hint="default"/>
        <w:lang w:val="pt-PT" w:eastAsia="pt-PT" w:bidi="pt-PT"/>
      </w:rPr>
    </w:lvl>
    <w:lvl w:ilvl="4" w:tplc="963635D6">
      <w:numFmt w:val="bullet"/>
      <w:lvlText w:val="•"/>
      <w:lvlJc w:val="left"/>
      <w:pPr>
        <w:ind w:left="4812" w:hanging="108"/>
      </w:pPr>
      <w:rPr>
        <w:rFonts w:hint="default"/>
        <w:lang w:val="pt-PT" w:eastAsia="pt-PT" w:bidi="pt-PT"/>
      </w:rPr>
    </w:lvl>
    <w:lvl w:ilvl="5" w:tplc="C1EC1B0A">
      <w:numFmt w:val="bullet"/>
      <w:lvlText w:val="•"/>
      <w:lvlJc w:val="left"/>
      <w:pPr>
        <w:ind w:left="5805" w:hanging="108"/>
      </w:pPr>
      <w:rPr>
        <w:rFonts w:hint="default"/>
        <w:lang w:val="pt-PT" w:eastAsia="pt-PT" w:bidi="pt-PT"/>
      </w:rPr>
    </w:lvl>
    <w:lvl w:ilvl="6" w:tplc="CFACB594">
      <w:numFmt w:val="bullet"/>
      <w:lvlText w:val="•"/>
      <w:lvlJc w:val="left"/>
      <w:pPr>
        <w:ind w:left="6798" w:hanging="108"/>
      </w:pPr>
      <w:rPr>
        <w:rFonts w:hint="default"/>
        <w:lang w:val="pt-PT" w:eastAsia="pt-PT" w:bidi="pt-PT"/>
      </w:rPr>
    </w:lvl>
    <w:lvl w:ilvl="7" w:tplc="96222DD2">
      <w:numFmt w:val="bullet"/>
      <w:lvlText w:val="•"/>
      <w:lvlJc w:val="left"/>
      <w:pPr>
        <w:ind w:left="7791" w:hanging="108"/>
      </w:pPr>
      <w:rPr>
        <w:rFonts w:hint="default"/>
        <w:lang w:val="pt-PT" w:eastAsia="pt-PT" w:bidi="pt-PT"/>
      </w:rPr>
    </w:lvl>
    <w:lvl w:ilvl="8" w:tplc="1FBE175C">
      <w:numFmt w:val="bullet"/>
      <w:lvlText w:val="•"/>
      <w:lvlJc w:val="left"/>
      <w:pPr>
        <w:ind w:left="8784" w:hanging="108"/>
      </w:pPr>
      <w:rPr>
        <w:rFonts w:hint="default"/>
        <w:lang w:val="pt-PT" w:eastAsia="pt-PT" w:bidi="pt-PT"/>
      </w:rPr>
    </w:lvl>
  </w:abstractNum>
  <w:abstractNum w:abstractNumId="1" w15:restartNumberingAfterBreak="0">
    <w:nsid w:val="52931647"/>
    <w:multiLevelType w:val="hybridMultilevel"/>
    <w:tmpl w:val="BEA40F58"/>
    <w:lvl w:ilvl="0" w:tplc="E6303D08">
      <w:numFmt w:val="bullet"/>
      <w:lvlText w:val="-"/>
      <w:lvlJc w:val="left"/>
      <w:pPr>
        <w:ind w:left="22" w:hanging="84"/>
      </w:pPr>
      <w:rPr>
        <w:rFonts w:ascii="Arial" w:eastAsia="Arial" w:hAnsi="Arial" w:cs="Arial" w:hint="default"/>
        <w:w w:val="99"/>
        <w:sz w:val="14"/>
        <w:szCs w:val="14"/>
        <w:lang w:val="pt-PT" w:eastAsia="pt-PT" w:bidi="pt-PT"/>
      </w:rPr>
    </w:lvl>
    <w:lvl w:ilvl="1" w:tplc="B3425D12">
      <w:numFmt w:val="bullet"/>
      <w:lvlText w:val="•"/>
      <w:lvlJc w:val="left"/>
      <w:pPr>
        <w:ind w:left="263" w:hanging="84"/>
      </w:pPr>
      <w:rPr>
        <w:rFonts w:hint="default"/>
        <w:lang w:val="pt-PT" w:eastAsia="pt-PT" w:bidi="pt-PT"/>
      </w:rPr>
    </w:lvl>
    <w:lvl w:ilvl="2" w:tplc="D2688F4C">
      <w:numFmt w:val="bullet"/>
      <w:lvlText w:val="•"/>
      <w:lvlJc w:val="left"/>
      <w:pPr>
        <w:ind w:left="507" w:hanging="84"/>
      </w:pPr>
      <w:rPr>
        <w:rFonts w:hint="default"/>
        <w:lang w:val="pt-PT" w:eastAsia="pt-PT" w:bidi="pt-PT"/>
      </w:rPr>
    </w:lvl>
    <w:lvl w:ilvl="3" w:tplc="CAA22420">
      <w:numFmt w:val="bullet"/>
      <w:lvlText w:val="•"/>
      <w:lvlJc w:val="left"/>
      <w:pPr>
        <w:ind w:left="750" w:hanging="84"/>
      </w:pPr>
      <w:rPr>
        <w:rFonts w:hint="default"/>
        <w:lang w:val="pt-PT" w:eastAsia="pt-PT" w:bidi="pt-PT"/>
      </w:rPr>
    </w:lvl>
    <w:lvl w:ilvl="4" w:tplc="2E1E7C62">
      <w:numFmt w:val="bullet"/>
      <w:lvlText w:val="•"/>
      <w:lvlJc w:val="left"/>
      <w:pPr>
        <w:ind w:left="994" w:hanging="84"/>
      </w:pPr>
      <w:rPr>
        <w:rFonts w:hint="default"/>
        <w:lang w:val="pt-PT" w:eastAsia="pt-PT" w:bidi="pt-PT"/>
      </w:rPr>
    </w:lvl>
    <w:lvl w:ilvl="5" w:tplc="37DA080A">
      <w:numFmt w:val="bullet"/>
      <w:lvlText w:val="•"/>
      <w:lvlJc w:val="left"/>
      <w:pPr>
        <w:ind w:left="1238" w:hanging="84"/>
      </w:pPr>
      <w:rPr>
        <w:rFonts w:hint="default"/>
        <w:lang w:val="pt-PT" w:eastAsia="pt-PT" w:bidi="pt-PT"/>
      </w:rPr>
    </w:lvl>
    <w:lvl w:ilvl="6" w:tplc="E410FA9A">
      <w:numFmt w:val="bullet"/>
      <w:lvlText w:val="•"/>
      <w:lvlJc w:val="left"/>
      <w:pPr>
        <w:ind w:left="1481" w:hanging="84"/>
      </w:pPr>
      <w:rPr>
        <w:rFonts w:hint="default"/>
        <w:lang w:val="pt-PT" w:eastAsia="pt-PT" w:bidi="pt-PT"/>
      </w:rPr>
    </w:lvl>
    <w:lvl w:ilvl="7" w:tplc="A8AC4DE4">
      <w:numFmt w:val="bullet"/>
      <w:lvlText w:val="•"/>
      <w:lvlJc w:val="left"/>
      <w:pPr>
        <w:ind w:left="1725" w:hanging="84"/>
      </w:pPr>
      <w:rPr>
        <w:rFonts w:hint="default"/>
        <w:lang w:val="pt-PT" w:eastAsia="pt-PT" w:bidi="pt-PT"/>
      </w:rPr>
    </w:lvl>
    <w:lvl w:ilvl="8" w:tplc="84005C26">
      <w:numFmt w:val="bullet"/>
      <w:lvlText w:val="•"/>
      <w:lvlJc w:val="left"/>
      <w:pPr>
        <w:ind w:left="1968" w:hanging="84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68"/>
    <w:rsid w:val="00031D68"/>
    <w:rsid w:val="00056B3D"/>
    <w:rsid w:val="00645212"/>
    <w:rsid w:val="00896032"/>
    <w:rsid w:val="00972E0E"/>
    <w:rsid w:val="009B506D"/>
    <w:rsid w:val="00CD298E"/>
    <w:rsid w:val="00D7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9184"/>
  <w15:docId w15:val="{93C9650E-9144-4492-BAC4-A99C3B77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27"/>
      <w:ind w:left="844" w:hanging="1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2020-05-11T13:50:00Z</dcterms:created>
  <dcterms:modified xsi:type="dcterms:W3CDTF">2020-05-11T13:50:00Z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2020-05-04T00:00:00Z</vt:filetime>
  </property>
</Properties>
</file>